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Финансовоеобеспечение хозяйственной деятельности состоит из:</w:t>
            </w:r>
            <w:br/>
            <w:br/>
            <w:r>
              <w:rPr/>
              <w:t xml:space="preserve">70% федерального бюджета;</w:t>
            </w:r>
            <w:br/>
            <w:br/>
            <w:r>
              <w:rPr/>
              <w:t xml:space="preserve">30% внебюджетное финансирование за счет деятельности приносящейприбыль.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2026-05-13T16:35:16+03:00</dcterms:created>
  <dcterms:modified xsi:type="dcterms:W3CDTF">2026-05-13T16:35:16+03:00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